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AD" w:rsidRDefault="00DA32AD" w:rsidP="00DA32AD">
      <w:pPr>
        <w:pStyle w:val="s10"/>
        <w:spacing w:before="0" w:beforeAutospacing="0" w:after="0" w:afterAutospacing="0" w:line="420" w:lineRule="exact"/>
        <w:ind w:firstLine="720"/>
        <w:jc w:val="center"/>
        <w:rPr>
          <w:rFonts w:ascii="华文中宋" w:eastAsia="华文中宋" w:hAnsi="华文中宋" w:cs="华文中宋"/>
          <w:sz w:val="36"/>
          <w:szCs w:val="36"/>
        </w:rPr>
      </w:pPr>
      <w:bookmarkStart w:id="0" w:name="_GoBack"/>
      <w:bookmarkEnd w:id="0"/>
      <w:r>
        <w:rPr>
          <w:rFonts w:ascii="华文中宋" w:eastAsia="华文中宋" w:hAnsi="华文中宋" w:cs="华文中宋" w:hint="eastAsia"/>
          <w:sz w:val="36"/>
          <w:szCs w:val="36"/>
        </w:rPr>
        <w:t>关于组织开展全国青少年校园足球骨干师资</w:t>
      </w:r>
    </w:p>
    <w:p w:rsidR="00DA32AD" w:rsidRDefault="00DA32AD" w:rsidP="00DA32AD">
      <w:pPr>
        <w:pStyle w:val="s10"/>
        <w:spacing w:before="0" w:beforeAutospacing="0" w:after="0" w:afterAutospacing="0" w:line="420" w:lineRule="exact"/>
        <w:ind w:firstLine="720"/>
        <w:jc w:val="center"/>
        <w:rPr>
          <w:rFonts w:ascii="华文中宋" w:eastAsia="华文中宋" w:hAnsi="华文中宋" w:cs="华文中宋"/>
          <w:sz w:val="36"/>
          <w:szCs w:val="36"/>
        </w:rPr>
      </w:pPr>
      <w:r>
        <w:rPr>
          <w:rFonts w:ascii="华文中宋" w:eastAsia="华文中宋" w:hAnsi="华文中宋" w:cs="华文中宋" w:hint="eastAsia"/>
          <w:sz w:val="36"/>
          <w:szCs w:val="36"/>
        </w:rPr>
        <w:t>国家级专项培训的通知</w:t>
      </w:r>
    </w:p>
    <w:p w:rsidR="00DA32AD" w:rsidRDefault="00DC5D70" w:rsidP="00DA32AD">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为加强杨浦区青少年校园足球师资队伍建设，提高杨浦区</w:t>
      </w:r>
      <w:r w:rsidR="00DA32AD">
        <w:rPr>
          <w:rFonts w:ascii="仿宋_GB2312" w:eastAsia="仿宋_GB2312" w:hAnsi="仿宋_GB2312" w:cs="仿宋_GB2312" w:hint="eastAsia"/>
          <w:sz w:val="32"/>
          <w:szCs w:val="32"/>
        </w:rPr>
        <w:t>校园足球有关从业人员工作能力和综合素养，支持校园足球特色学校发展，大力提升校园足球工作水平，接《教育部办公厅关于组织开展全国青少年校园足球骨干师资国家级专项培训的通知》，我区将开展各类相关培训人员协调、推荐、报名工作。现将有关事项通知如下：</w:t>
      </w:r>
    </w:p>
    <w:p w:rsidR="00DA32AD" w:rsidRDefault="00DA32AD" w:rsidP="00DC5D70">
      <w:pPr>
        <w:spacing w:line="520" w:lineRule="exact"/>
        <w:ind w:firstLineChars="0" w:firstLine="0"/>
        <w:rPr>
          <w:rFonts w:ascii="黑体" w:eastAsia="黑体" w:hAnsi="黑体" w:cs="黑体"/>
          <w:sz w:val="32"/>
          <w:szCs w:val="32"/>
        </w:rPr>
      </w:pPr>
      <w:r>
        <w:rPr>
          <w:rFonts w:ascii="黑体" w:eastAsia="黑体" w:hAnsi="黑体" w:cs="黑体" w:hint="eastAsia"/>
          <w:sz w:val="32"/>
          <w:szCs w:val="32"/>
        </w:rPr>
        <w:t>一、培训类型及对象</w:t>
      </w:r>
    </w:p>
    <w:p w:rsidR="00DA32AD" w:rsidRDefault="00DA32AD" w:rsidP="00DA32AD">
      <w:pPr>
        <w:spacing w:line="52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1.体育骨干教师培训。</w:t>
      </w:r>
      <w:r>
        <w:rPr>
          <w:rFonts w:ascii="仿宋_GB2312" w:eastAsia="仿宋_GB2312" w:hAnsi="仿宋_GB2312" w:cs="仿宋_GB2312" w:hint="eastAsia"/>
          <w:sz w:val="32"/>
          <w:szCs w:val="32"/>
        </w:rPr>
        <w:t>主要以2017年认定的全国青少年校园足球特色学校45岁以下体育骨干教师为主。</w:t>
      </w:r>
    </w:p>
    <w:p w:rsidR="00DA32AD" w:rsidRDefault="00DA32AD" w:rsidP="00DA32AD">
      <w:pPr>
        <w:spacing w:line="52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2.中小学校长培训。</w:t>
      </w:r>
      <w:r>
        <w:rPr>
          <w:rFonts w:ascii="仿宋_GB2312" w:eastAsia="仿宋_GB2312" w:hAnsi="仿宋_GB2312" w:cs="仿宋_GB2312" w:hint="eastAsia"/>
          <w:sz w:val="32"/>
          <w:szCs w:val="32"/>
        </w:rPr>
        <w:t>主要以2017年认定的全国青少年校园足球特色学校校长为主。</w:t>
      </w:r>
    </w:p>
    <w:p w:rsidR="00CE5103" w:rsidRPr="00DA32AD" w:rsidRDefault="00CE5103" w:rsidP="00CE5103">
      <w:pPr>
        <w:ind w:firstLineChars="0" w:firstLine="0"/>
        <w:rPr>
          <w:b/>
          <w:sz w:val="28"/>
          <w:szCs w:val="28"/>
        </w:rPr>
      </w:pPr>
      <w:r>
        <w:rPr>
          <w:rFonts w:asciiTheme="minorEastAsia" w:hAnsiTheme="minorEastAsia" w:hint="eastAsia"/>
          <w:b/>
          <w:sz w:val="28"/>
          <w:szCs w:val="28"/>
        </w:rPr>
        <w:t>附：</w:t>
      </w:r>
      <w:r w:rsidRPr="00DA32AD">
        <w:rPr>
          <w:rFonts w:hint="eastAsia"/>
          <w:b/>
          <w:sz w:val="28"/>
          <w:szCs w:val="28"/>
        </w:rPr>
        <w:t>2017年认定的全国青少年校园足球特色校</w:t>
      </w:r>
      <w:r>
        <w:rPr>
          <w:rFonts w:hint="eastAsia"/>
          <w:b/>
          <w:sz w:val="28"/>
          <w:szCs w:val="28"/>
        </w:rPr>
        <w:t>有以下学校：</w:t>
      </w:r>
    </w:p>
    <w:p w:rsidR="00CE5103" w:rsidRDefault="00CE5103" w:rsidP="00CE5103">
      <w:pPr>
        <w:ind w:firstLineChars="0" w:firstLine="0"/>
        <w:rPr>
          <w:sz w:val="28"/>
          <w:szCs w:val="28"/>
        </w:rPr>
      </w:pPr>
      <w:r>
        <w:rPr>
          <w:rFonts w:hint="eastAsia"/>
          <w:sz w:val="28"/>
          <w:szCs w:val="28"/>
        </w:rPr>
        <w:t>1、上海市杨浦高级中学</w:t>
      </w:r>
    </w:p>
    <w:p w:rsidR="00CE5103" w:rsidRDefault="00CE5103" w:rsidP="00CE5103">
      <w:pPr>
        <w:ind w:firstLineChars="0" w:firstLine="0"/>
        <w:rPr>
          <w:sz w:val="28"/>
          <w:szCs w:val="28"/>
        </w:rPr>
      </w:pPr>
      <w:r>
        <w:rPr>
          <w:rFonts w:hint="eastAsia"/>
          <w:sz w:val="28"/>
          <w:szCs w:val="28"/>
        </w:rPr>
        <w:t>2、上海市铁岭中学</w:t>
      </w:r>
    </w:p>
    <w:p w:rsidR="00CE5103" w:rsidRDefault="00CE5103" w:rsidP="00CE5103">
      <w:pPr>
        <w:ind w:firstLineChars="0" w:firstLine="0"/>
        <w:rPr>
          <w:sz w:val="28"/>
          <w:szCs w:val="28"/>
        </w:rPr>
      </w:pPr>
      <w:r>
        <w:rPr>
          <w:rFonts w:hint="eastAsia"/>
          <w:sz w:val="28"/>
          <w:szCs w:val="28"/>
        </w:rPr>
        <w:t>3、上海市十五中学</w:t>
      </w:r>
    </w:p>
    <w:p w:rsidR="00CE5103" w:rsidRDefault="00CE5103" w:rsidP="00CE5103">
      <w:pPr>
        <w:ind w:firstLineChars="0" w:firstLine="0"/>
        <w:rPr>
          <w:sz w:val="28"/>
          <w:szCs w:val="28"/>
        </w:rPr>
      </w:pPr>
      <w:r>
        <w:rPr>
          <w:rFonts w:hint="eastAsia"/>
          <w:sz w:val="28"/>
          <w:szCs w:val="28"/>
        </w:rPr>
        <w:t>4、上海市控江初级中学</w:t>
      </w:r>
    </w:p>
    <w:p w:rsidR="00CE5103" w:rsidRDefault="00CE5103" w:rsidP="00CE5103">
      <w:pPr>
        <w:ind w:firstLineChars="0" w:firstLine="0"/>
        <w:rPr>
          <w:sz w:val="28"/>
          <w:szCs w:val="28"/>
        </w:rPr>
      </w:pPr>
      <w:r>
        <w:rPr>
          <w:rFonts w:hint="eastAsia"/>
          <w:sz w:val="28"/>
          <w:szCs w:val="28"/>
        </w:rPr>
        <w:t>5、上海外国语大学附属双语学校</w:t>
      </w:r>
    </w:p>
    <w:p w:rsidR="00CE5103" w:rsidRDefault="00CE5103" w:rsidP="00CE5103">
      <w:pPr>
        <w:ind w:firstLineChars="0" w:firstLine="0"/>
        <w:rPr>
          <w:sz w:val="28"/>
          <w:szCs w:val="28"/>
        </w:rPr>
      </w:pPr>
      <w:r>
        <w:rPr>
          <w:rFonts w:hint="eastAsia"/>
          <w:sz w:val="28"/>
          <w:szCs w:val="28"/>
        </w:rPr>
        <w:t>6、上海民办沪东外国语学校</w:t>
      </w:r>
    </w:p>
    <w:p w:rsidR="00CE5103" w:rsidRDefault="00CE5103" w:rsidP="00CE5103">
      <w:pPr>
        <w:ind w:firstLineChars="0" w:firstLine="0"/>
        <w:rPr>
          <w:sz w:val="28"/>
          <w:szCs w:val="28"/>
        </w:rPr>
      </w:pPr>
      <w:r>
        <w:rPr>
          <w:rFonts w:hint="eastAsia"/>
          <w:sz w:val="28"/>
          <w:szCs w:val="28"/>
        </w:rPr>
        <w:t>7、上海市杨浦区内江路小学</w:t>
      </w:r>
    </w:p>
    <w:p w:rsidR="00CE5103" w:rsidRDefault="00CE5103" w:rsidP="00CE5103">
      <w:pPr>
        <w:ind w:firstLineChars="0" w:firstLine="0"/>
        <w:rPr>
          <w:sz w:val="28"/>
          <w:szCs w:val="28"/>
        </w:rPr>
      </w:pPr>
      <w:r>
        <w:rPr>
          <w:rFonts w:hint="eastAsia"/>
          <w:sz w:val="28"/>
          <w:szCs w:val="28"/>
        </w:rPr>
        <w:t>8、复旦大学附属小学</w:t>
      </w:r>
    </w:p>
    <w:p w:rsidR="00CE5103" w:rsidRDefault="00CE5103" w:rsidP="00CE5103">
      <w:pPr>
        <w:ind w:firstLineChars="0" w:firstLine="0"/>
        <w:rPr>
          <w:sz w:val="28"/>
          <w:szCs w:val="28"/>
        </w:rPr>
      </w:pPr>
      <w:r>
        <w:rPr>
          <w:rFonts w:hint="eastAsia"/>
          <w:sz w:val="28"/>
          <w:szCs w:val="28"/>
        </w:rPr>
        <w:t>9、上海市第二师范学校附属小学</w:t>
      </w:r>
    </w:p>
    <w:p w:rsidR="00CE5103" w:rsidRDefault="00CE5103" w:rsidP="00CE5103">
      <w:pPr>
        <w:ind w:firstLineChars="0" w:firstLine="0"/>
        <w:rPr>
          <w:sz w:val="28"/>
          <w:szCs w:val="28"/>
        </w:rPr>
      </w:pPr>
      <w:r>
        <w:rPr>
          <w:rFonts w:hint="eastAsia"/>
          <w:sz w:val="28"/>
          <w:szCs w:val="28"/>
        </w:rPr>
        <w:t>10、复旦科技园小学</w:t>
      </w:r>
    </w:p>
    <w:p w:rsidR="00CE5103" w:rsidRPr="00CE5103" w:rsidRDefault="00CE5103" w:rsidP="00CE5103">
      <w:pPr>
        <w:ind w:firstLineChars="0" w:firstLine="0"/>
        <w:rPr>
          <w:b/>
          <w:sz w:val="28"/>
          <w:szCs w:val="28"/>
        </w:rPr>
      </w:pPr>
      <w:r w:rsidRPr="002A7B63">
        <w:rPr>
          <w:rFonts w:hint="eastAsia"/>
          <w:b/>
          <w:sz w:val="28"/>
          <w:szCs w:val="28"/>
        </w:rPr>
        <w:t xml:space="preserve">    请以上学校组织校长、体育老师参加体育骨干教师和校长培训。</w:t>
      </w:r>
    </w:p>
    <w:p w:rsidR="00DA32AD" w:rsidRDefault="00DA32AD" w:rsidP="00DA32AD">
      <w:pPr>
        <w:spacing w:line="52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3.体育骨干教师提高班培训。</w:t>
      </w:r>
      <w:r>
        <w:rPr>
          <w:rFonts w:ascii="仿宋_GB2312" w:eastAsia="仿宋_GB2312" w:hAnsi="仿宋_GB2312" w:cs="仿宋_GB2312" w:hint="eastAsia"/>
          <w:sz w:val="32"/>
          <w:szCs w:val="32"/>
        </w:rPr>
        <w:t>在参加2016年国家级专项培训（2016年全国青少年足球师资国家级培训参训人员）的基础上，经各地择优选送。</w:t>
      </w:r>
    </w:p>
    <w:p w:rsidR="00CE5103" w:rsidRDefault="00CE5103" w:rsidP="00CE5103">
      <w:pPr>
        <w:spacing w:line="52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附：学校名单</w:t>
      </w:r>
    </w:p>
    <w:p w:rsidR="00CE5103" w:rsidRDefault="00CE5103" w:rsidP="00CE5103">
      <w:pPr>
        <w:spacing w:line="52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1、上海市平凉路第四小学</w:t>
      </w:r>
    </w:p>
    <w:p w:rsidR="00CE5103" w:rsidRDefault="00CE5103" w:rsidP="00CE5103">
      <w:pPr>
        <w:spacing w:line="52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2、上海市杨浦区五角场小学</w:t>
      </w:r>
    </w:p>
    <w:p w:rsidR="00CE5103" w:rsidRDefault="00CE5103" w:rsidP="00CE5103">
      <w:pPr>
        <w:spacing w:line="52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3、上海市杨浦区许昌路第五小学</w:t>
      </w:r>
    </w:p>
    <w:p w:rsidR="00CE5103" w:rsidRDefault="00CE5103" w:rsidP="00CE5103">
      <w:pPr>
        <w:spacing w:line="52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4、上海市鞍山初级中学</w:t>
      </w:r>
    </w:p>
    <w:p w:rsidR="00CE5103" w:rsidRPr="00CE5103" w:rsidRDefault="00CE5103" w:rsidP="00CE5103">
      <w:pPr>
        <w:spacing w:line="52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5、上海市延吉第二初级中学</w:t>
      </w:r>
    </w:p>
    <w:p w:rsidR="00DA32AD" w:rsidRDefault="00DA32AD" w:rsidP="00DC5D70">
      <w:pPr>
        <w:spacing w:line="520" w:lineRule="exact"/>
        <w:ind w:firstLineChars="0" w:firstLine="0"/>
        <w:rPr>
          <w:rFonts w:ascii="黑体" w:eastAsia="黑体" w:hAnsi="黑体" w:cs="黑体"/>
          <w:sz w:val="32"/>
          <w:szCs w:val="32"/>
        </w:rPr>
      </w:pPr>
      <w:r>
        <w:rPr>
          <w:rFonts w:ascii="黑体" w:eastAsia="黑体" w:hAnsi="黑体" w:cs="黑体" w:hint="eastAsia"/>
          <w:sz w:val="32"/>
          <w:szCs w:val="32"/>
        </w:rPr>
        <w:t>二、培训时间与地点</w:t>
      </w:r>
    </w:p>
    <w:p w:rsidR="00DA32AD" w:rsidRDefault="00DA32AD" w:rsidP="00DC5D70">
      <w:pPr>
        <w:spacing w:line="520" w:lineRule="exact"/>
        <w:ind w:firstLineChars="212" w:firstLine="678"/>
        <w:rPr>
          <w:rFonts w:ascii="仿宋_GB2312" w:eastAsia="仿宋_GB2312" w:hAnsi="仿宋_GB2312" w:cs="仿宋_GB2312"/>
          <w:sz w:val="32"/>
          <w:szCs w:val="32"/>
        </w:rPr>
      </w:pPr>
      <w:r>
        <w:rPr>
          <w:rFonts w:ascii="仿宋_GB2312" w:eastAsia="仿宋_GB2312" w:hAnsi="仿宋_GB2312" w:cs="仿宋_GB2312" w:hint="eastAsia"/>
          <w:sz w:val="32"/>
          <w:szCs w:val="32"/>
        </w:rPr>
        <w:t>1.体育骨干教师培训于7月15-23日华东师范大学进行；</w:t>
      </w:r>
    </w:p>
    <w:p w:rsidR="00DA32AD" w:rsidRDefault="00DA32AD" w:rsidP="00DA32AD">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2.中小学校长培训于7月10-13日华东师范大学进行；</w:t>
      </w:r>
    </w:p>
    <w:p w:rsidR="00DA32AD" w:rsidRDefault="00DA32AD" w:rsidP="00DC5D70">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3.体育骨干教师提高班培训于7月17-25日南京体育学院进行。</w:t>
      </w:r>
    </w:p>
    <w:p w:rsidR="00DC5D70" w:rsidRDefault="00DC5D70" w:rsidP="00DC5D70">
      <w:pPr>
        <w:spacing w:line="520" w:lineRule="exact"/>
        <w:ind w:firstLineChars="0" w:firstLine="0"/>
        <w:rPr>
          <w:rFonts w:ascii="黑体" w:eastAsia="黑体" w:hAnsi="黑体" w:cs="黑体"/>
          <w:sz w:val="32"/>
          <w:szCs w:val="32"/>
        </w:rPr>
      </w:pPr>
      <w:r>
        <w:rPr>
          <w:rFonts w:ascii="黑体" w:eastAsia="黑体" w:hAnsi="黑体" w:cs="黑体" w:hint="eastAsia"/>
          <w:sz w:val="32"/>
          <w:szCs w:val="32"/>
        </w:rPr>
        <w:t>三、名额分配</w:t>
      </w:r>
    </w:p>
    <w:p w:rsidR="00DC5D70" w:rsidRDefault="00DC5D70" w:rsidP="00DC5D70">
      <w:pPr>
        <w:spacing w:line="520"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1.体育骨干教师----杨浦区10人</w:t>
      </w:r>
    </w:p>
    <w:p w:rsidR="00DC5D70" w:rsidRDefault="00DC5D70" w:rsidP="00DC5D70">
      <w:pPr>
        <w:spacing w:line="520"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2.中小学校长-------杨浦区10人</w:t>
      </w:r>
    </w:p>
    <w:p w:rsidR="00DD48E1" w:rsidRPr="00DC5D70" w:rsidRDefault="00DC5D70" w:rsidP="00DD48E1">
      <w:pPr>
        <w:spacing w:line="520"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3.体育骨干教师提高班----杨浦区2人</w:t>
      </w:r>
    </w:p>
    <w:p w:rsidR="00DA32AD" w:rsidRDefault="00DC5D70" w:rsidP="00DC5D70">
      <w:pPr>
        <w:spacing w:line="520" w:lineRule="exact"/>
        <w:ind w:firstLineChars="0" w:firstLine="0"/>
        <w:rPr>
          <w:rFonts w:ascii="黑体" w:eastAsia="黑体" w:hAnsi="黑体" w:cs="黑体"/>
          <w:sz w:val="32"/>
          <w:szCs w:val="32"/>
        </w:rPr>
      </w:pPr>
      <w:r>
        <w:rPr>
          <w:rFonts w:ascii="黑体" w:eastAsia="黑体" w:hAnsi="黑体" w:cs="黑体" w:hint="eastAsia"/>
          <w:sz w:val="32"/>
          <w:szCs w:val="32"/>
        </w:rPr>
        <w:t>四</w:t>
      </w:r>
      <w:r w:rsidR="00DA32AD">
        <w:rPr>
          <w:rFonts w:ascii="黑体" w:eastAsia="黑体" w:hAnsi="黑体" w:cs="黑体" w:hint="eastAsia"/>
          <w:sz w:val="32"/>
          <w:szCs w:val="32"/>
        </w:rPr>
        <w:t>、报名方式与要求</w:t>
      </w:r>
    </w:p>
    <w:p w:rsidR="00DA32AD" w:rsidRDefault="00DA32AD" w:rsidP="00DA32AD">
      <w:pPr>
        <w:spacing w:line="520"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1.报名方式</w:t>
      </w:r>
    </w:p>
    <w:p w:rsidR="00DA32AD" w:rsidRDefault="00DA32AD" w:rsidP="00DA32AD">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教育部办公厅关于组织开展全国青少年校园足球骨干师资国家级专项培训的通知》中的要求个人完成网上报名，各区2017年校园足球特色学校参加体育骨干教师培训、校长培训、体育骨干教师提高班培训的学员须在</w:t>
      </w:r>
      <w:r>
        <w:rPr>
          <w:rFonts w:ascii="仿宋_GB2312" w:eastAsia="仿宋_GB2312" w:hAnsi="仿宋_GB2312" w:cs="仿宋_GB2312" w:hint="eastAsia"/>
          <w:sz w:val="32"/>
          <w:szCs w:val="32"/>
          <w:u w:val="single"/>
        </w:rPr>
        <w:t>2018年6月4日前</w:t>
      </w:r>
      <w:r>
        <w:rPr>
          <w:rFonts w:ascii="仿宋_GB2312" w:eastAsia="仿宋_GB2312" w:hAnsi="仿宋_GB2312" w:cs="仿宋_GB2312" w:hint="eastAsia"/>
          <w:sz w:val="32"/>
          <w:szCs w:val="32"/>
        </w:rPr>
        <w:t>完成网上报名。</w:t>
      </w:r>
    </w:p>
    <w:p w:rsidR="008E2824" w:rsidRPr="00DD48E1" w:rsidRDefault="008E2824" w:rsidP="008E2824">
      <w:pPr>
        <w:widowControl/>
        <w:shd w:val="clear" w:color="auto" w:fill="FFFFFF"/>
        <w:ind w:firstLine="640"/>
        <w:jc w:val="left"/>
        <w:rPr>
          <w:rFonts w:ascii="仿宋_GB2312" w:eastAsia="仿宋_GB2312" w:hAnsi="仿宋_GB2312" w:cs="仿宋_GB2312"/>
          <w:sz w:val="32"/>
          <w:szCs w:val="32"/>
        </w:rPr>
      </w:pPr>
      <w:r w:rsidRPr="00DD48E1">
        <w:rPr>
          <w:rFonts w:ascii="仿宋_GB2312" w:eastAsia="仿宋_GB2312" w:hAnsi="仿宋_GB2312" w:cs="仿宋_GB2312" w:hint="eastAsia"/>
          <w:sz w:val="32"/>
          <w:szCs w:val="32"/>
        </w:rPr>
        <w:lastRenderedPageBreak/>
        <w:t>报名系统名称：全国青少年校园足球骨干师资国家级专项培训报名系统（</w:t>
      </w:r>
      <w:r w:rsidRPr="00DD48E1">
        <w:rPr>
          <w:rFonts w:ascii="仿宋_GB2312" w:eastAsia="仿宋_GB2312" w:hAnsi="仿宋_GB2312" w:cs="仿宋_GB2312"/>
          <w:sz w:val="32"/>
          <w:szCs w:val="32"/>
        </w:rPr>
        <w:t>2017年国家级校园足球特色学校国家级培训专用）</w:t>
      </w:r>
      <w:r w:rsidRPr="00DD48E1">
        <w:rPr>
          <w:rFonts w:ascii="仿宋_GB2312" w:eastAsia="仿宋_GB2312" w:hAnsi="仿宋_GB2312" w:cs="仿宋_GB2312" w:hint="eastAsia"/>
          <w:sz w:val="32"/>
          <w:szCs w:val="32"/>
        </w:rPr>
        <w:t>（</w:t>
      </w:r>
      <w:r w:rsidRPr="00DD48E1">
        <w:rPr>
          <w:rFonts w:ascii="仿宋_GB2312" w:eastAsia="仿宋_GB2312" w:hAnsi="仿宋_GB2312" w:cs="仿宋_GB2312"/>
          <w:sz w:val="32"/>
          <w:szCs w:val="32"/>
        </w:rPr>
        <w:t>简称</w:t>
      </w:r>
      <w:r w:rsidRPr="00DD48E1">
        <w:rPr>
          <w:rFonts w:ascii="仿宋_GB2312" w:eastAsia="仿宋_GB2312" w:hAnsi="仿宋_GB2312" w:cs="仿宋_GB2312" w:hint="eastAsia"/>
          <w:sz w:val="32"/>
          <w:szCs w:val="32"/>
        </w:rPr>
        <w:t>校园足球</w:t>
      </w:r>
      <w:r w:rsidRPr="00DD48E1">
        <w:rPr>
          <w:rFonts w:ascii="仿宋_GB2312" w:eastAsia="仿宋_GB2312" w:hAnsi="仿宋_GB2312" w:cs="仿宋_GB2312"/>
          <w:sz w:val="32"/>
          <w:szCs w:val="32"/>
        </w:rPr>
        <w:t>专项培训报名系统）</w:t>
      </w:r>
      <w:r w:rsidRPr="00DD48E1">
        <w:rPr>
          <w:rFonts w:ascii="仿宋_GB2312" w:eastAsia="仿宋_GB2312" w:hAnsi="仿宋_GB2312" w:cs="仿宋_GB2312" w:hint="eastAsia"/>
          <w:sz w:val="32"/>
          <w:szCs w:val="32"/>
        </w:rPr>
        <w:t>，</w:t>
      </w:r>
      <w:r w:rsidRPr="00DD48E1">
        <w:rPr>
          <w:rFonts w:ascii="仿宋_GB2312" w:eastAsia="仿宋_GB2312" w:hAnsi="仿宋_GB2312" w:cs="仿宋_GB2312"/>
          <w:sz w:val="32"/>
          <w:szCs w:val="32"/>
        </w:rPr>
        <w:t>网址</w:t>
      </w:r>
      <w:r w:rsidRPr="00DD48E1">
        <w:rPr>
          <w:rFonts w:ascii="仿宋_GB2312" w:eastAsia="仿宋_GB2312" w:hAnsi="仿宋_GB2312" w:cs="仿宋_GB2312" w:hint="eastAsia"/>
          <w:sz w:val="32"/>
          <w:szCs w:val="32"/>
        </w:rPr>
        <w:t>为：</w:t>
      </w:r>
      <w:r w:rsidRPr="00DD48E1">
        <w:rPr>
          <w:rFonts w:ascii="仿宋_GB2312" w:eastAsia="仿宋_GB2312" w:hAnsi="仿宋_GB2312" w:cs="仿宋_GB2312"/>
          <w:sz w:val="32"/>
          <w:szCs w:val="32"/>
        </w:rPr>
        <w:t>http://www.zgtyjs.org/education/v/entry.jsp</w:t>
      </w:r>
      <w:r w:rsidRPr="00DD48E1">
        <w:rPr>
          <w:rFonts w:ascii="仿宋_GB2312" w:eastAsia="仿宋_GB2312" w:hAnsi="仿宋_GB2312" w:cs="仿宋_GB2312" w:hint="eastAsia"/>
          <w:sz w:val="32"/>
          <w:szCs w:val="32"/>
        </w:rPr>
        <w:t>。学员注册成功后，请选择对应的培训进行报名，提交报名信息后将自动获得对应的培训类型、报到时间、报到地点、报到乘车路线、联系人及联系电话等信息。</w:t>
      </w:r>
    </w:p>
    <w:p w:rsidR="00DA32AD" w:rsidRDefault="00DA32AD" w:rsidP="00DC5D70">
      <w:pPr>
        <w:spacing w:line="520" w:lineRule="exact"/>
        <w:ind w:firstLineChars="62" w:firstLine="19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2.报名要求</w:t>
      </w:r>
    </w:p>
    <w:p w:rsidR="00102FEE" w:rsidRDefault="002A7B63" w:rsidP="00102FEE">
      <w:pPr>
        <w:spacing w:line="520" w:lineRule="exact"/>
        <w:ind w:firstLine="640"/>
        <w:rPr>
          <w:rFonts w:ascii="仿宋_GB2312" w:eastAsia="仿宋_GB2312" w:hAnsi="仿宋_GB2312" w:cs="仿宋_GB2312"/>
          <w:sz w:val="32"/>
          <w:szCs w:val="32"/>
          <w:u w:val="single"/>
        </w:rPr>
      </w:pPr>
      <w:r w:rsidRPr="002A7B63">
        <w:rPr>
          <w:rFonts w:ascii="仿宋_GB2312" w:eastAsia="仿宋_GB2312" w:hAnsi="仿宋_GB2312" w:cs="仿宋_GB2312" w:hint="eastAsia"/>
          <w:sz w:val="32"/>
          <w:szCs w:val="32"/>
        </w:rPr>
        <w:t>各报名老师</w:t>
      </w:r>
      <w:r w:rsidR="00DA32AD" w:rsidRPr="002A7B63">
        <w:rPr>
          <w:rFonts w:ascii="仿宋_GB2312" w:eastAsia="仿宋_GB2312" w:hAnsi="仿宋_GB2312" w:cs="仿宋_GB2312" w:hint="eastAsia"/>
          <w:sz w:val="32"/>
          <w:szCs w:val="32"/>
        </w:rPr>
        <w:t>于</w:t>
      </w:r>
      <w:r w:rsidR="00DA32AD" w:rsidRPr="002A7B63">
        <w:rPr>
          <w:rFonts w:ascii="仿宋_GB2312" w:eastAsia="仿宋_GB2312" w:hAnsi="仿宋_GB2312" w:cs="仿宋_GB2312" w:hint="eastAsia"/>
          <w:b/>
          <w:bCs/>
          <w:sz w:val="32"/>
          <w:szCs w:val="32"/>
          <w:u w:val="single"/>
        </w:rPr>
        <w:t>2018年6月</w:t>
      </w:r>
      <w:r w:rsidR="00210058">
        <w:rPr>
          <w:rFonts w:ascii="仿宋_GB2312" w:eastAsia="仿宋_GB2312" w:hAnsi="仿宋_GB2312" w:cs="仿宋_GB2312" w:hint="eastAsia"/>
          <w:b/>
          <w:bCs/>
          <w:sz w:val="32"/>
          <w:szCs w:val="32"/>
          <w:u w:val="single"/>
        </w:rPr>
        <w:t>3</w:t>
      </w:r>
      <w:r w:rsidR="00DA32AD" w:rsidRPr="002A7B63">
        <w:rPr>
          <w:rFonts w:ascii="仿宋_GB2312" w:eastAsia="仿宋_GB2312" w:hAnsi="仿宋_GB2312" w:cs="仿宋_GB2312" w:hint="eastAsia"/>
          <w:b/>
          <w:bCs/>
          <w:sz w:val="32"/>
          <w:szCs w:val="32"/>
          <w:u w:val="single"/>
        </w:rPr>
        <w:t>日中午12:00</w:t>
      </w:r>
      <w:r w:rsidR="00DA32AD" w:rsidRPr="002A7B63">
        <w:rPr>
          <w:rFonts w:ascii="仿宋_GB2312" w:eastAsia="仿宋_GB2312" w:hAnsi="仿宋_GB2312" w:cs="仿宋_GB2312" w:hint="eastAsia"/>
          <w:sz w:val="32"/>
          <w:szCs w:val="32"/>
          <w:u w:val="single"/>
        </w:rPr>
        <w:t>前</w:t>
      </w:r>
      <w:r w:rsidR="00102FEE">
        <w:rPr>
          <w:rFonts w:ascii="仿宋_GB2312" w:eastAsia="仿宋_GB2312" w:hAnsi="仿宋_GB2312" w:cs="仿宋_GB2312" w:hint="eastAsia"/>
          <w:sz w:val="32"/>
          <w:szCs w:val="32"/>
        </w:rPr>
        <w:t>将本校报名人员填写在附件1汇总表中，以邮箱的方式发送至</w:t>
      </w:r>
      <w:hyperlink r:id="rId6" w:history="1">
        <w:r w:rsidRPr="002A7B63">
          <w:rPr>
            <w:rStyle w:val="a7"/>
            <w:rFonts w:ascii="仿宋_GB2312" w:eastAsia="仿宋_GB2312" w:hAnsi="仿宋_GB2312" w:cs="仿宋_GB2312" w:hint="eastAsia"/>
            <w:color w:val="auto"/>
            <w:sz w:val="32"/>
            <w:szCs w:val="32"/>
          </w:rPr>
          <w:t>以邮箱的方式发送至439609561@qq.com</w:t>
        </w:r>
      </w:hyperlink>
      <w:r w:rsidRPr="002A7B63">
        <w:rPr>
          <w:rFonts w:ascii="仿宋_GB2312" w:eastAsia="仿宋_GB2312" w:hAnsi="仿宋_GB2312" w:cs="仿宋_GB2312" w:hint="eastAsia"/>
          <w:sz w:val="32"/>
          <w:szCs w:val="32"/>
        </w:rPr>
        <w:t xml:space="preserve">  </w:t>
      </w:r>
    </w:p>
    <w:p w:rsidR="00102FEE" w:rsidRDefault="002A7B63" w:rsidP="00102FEE">
      <w:pPr>
        <w:spacing w:line="520" w:lineRule="exact"/>
        <w:ind w:firstLine="640"/>
        <w:rPr>
          <w:rFonts w:ascii="仿宋_GB2312" w:eastAsia="仿宋_GB2312" w:hAnsi="仿宋_GB2312" w:cs="仿宋_GB2312"/>
          <w:sz w:val="32"/>
          <w:szCs w:val="32"/>
        </w:rPr>
      </w:pPr>
      <w:r w:rsidRPr="002A7B63">
        <w:rPr>
          <w:rFonts w:ascii="仿宋_GB2312" w:eastAsia="仿宋_GB2312" w:hAnsi="仿宋_GB2312" w:cs="仿宋_GB2312" w:hint="eastAsia"/>
          <w:sz w:val="32"/>
          <w:szCs w:val="32"/>
        </w:rPr>
        <w:t>联系电话18616371550  姚卫</w:t>
      </w:r>
    </w:p>
    <w:p w:rsidR="00DD48E1" w:rsidRPr="00DD48E1" w:rsidRDefault="00DD48E1" w:rsidP="00DD48E1">
      <w:pPr>
        <w:spacing w:line="520" w:lineRule="exact"/>
        <w:ind w:firstLineChars="62" w:firstLine="199"/>
        <w:rPr>
          <w:rFonts w:ascii="楷体_GB2312" w:eastAsia="楷体_GB2312" w:hAnsi="楷体_GB2312" w:cs="楷体_GB2312"/>
          <w:b/>
          <w:bCs/>
          <w:sz w:val="32"/>
          <w:szCs w:val="32"/>
        </w:rPr>
      </w:pPr>
      <w:r w:rsidRPr="00DD48E1">
        <w:rPr>
          <w:rFonts w:ascii="楷体_GB2312" w:eastAsia="楷体_GB2312" w:hAnsi="楷体_GB2312" w:cs="楷体_GB2312" w:hint="eastAsia"/>
          <w:b/>
          <w:bCs/>
          <w:sz w:val="32"/>
          <w:szCs w:val="32"/>
        </w:rPr>
        <w:t>五、其他要求</w:t>
      </w:r>
    </w:p>
    <w:p w:rsidR="00DD48E1" w:rsidRPr="00DD48E1" w:rsidRDefault="00DD48E1" w:rsidP="00DD48E1">
      <w:pPr>
        <w:widowControl/>
        <w:shd w:val="clear" w:color="auto" w:fill="FFFFFF"/>
        <w:ind w:firstLine="640"/>
        <w:jc w:val="left"/>
        <w:rPr>
          <w:rFonts w:ascii="仿宋_GB2312" w:eastAsia="仿宋_GB2312" w:hAnsi="仿宋_GB2312" w:cs="仿宋_GB2312"/>
          <w:sz w:val="32"/>
          <w:szCs w:val="32"/>
        </w:rPr>
      </w:pPr>
      <w:r w:rsidRPr="00DD48E1">
        <w:rPr>
          <w:rFonts w:ascii="仿宋_GB2312" w:eastAsia="仿宋_GB2312" w:hAnsi="仿宋_GB2312" w:cs="仿宋_GB2312" w:hint="eastAsia"/>
          <w:sz w:val="32"/>
          <w:szCs w:val="32"/>
        </w:rPr>
        <w:t>（一）学员报到时，需提供本人已参保意外伤害险保险单原件，或打印电子保单。同时提供安全</w:t>
      </w:r>
      <w:r w:rsidRPr="00DD48E1">
        <w:rPr>
          <w:rFonts w:ascii="仿宋_GB2312" w:eastAsia="仿宋_GB2312" w:hAnsi="仿宋_GB2312" w:cs="仿宋_GB2312"/>
          <w:sz w:val="32"/>
          <w:szCs w:val="32"/>
        </w:rPr>
        <w:t>协议、</w:t>
      </w:r>
      <w:r w:rsidRPr="00DD48E1">
        <w:rPr>
          <w:rFonts w:ascii="仿宋_GB2312" w:eastAsia="仿宋_GB2312" w:hAnsi="仿宋_GB2312" w:cs="仿宋_GB2312" w:hint="eastAsia"/>
          <w:sz w:val="32"/>
          <w:szCs w:val="32"/>
        </w:rPr>
        <w:t>所在学校开具的培训通知书。</w:t>
      </w:r>
    </w:p>
    <w:p w:rsidR="00DD48E1" w:rsidRPr="00DD48E1" w:rsidRDefault="00DD48E1" w:rsidP="00DD48E1">
      <w:pPr>
        <w:widowControl/>
        <w:shd w:val="clear" w:color="auto" w:fill="FFFFFF"/>
        <w:ind w:firstLine="640"/>
        <w:jc w:val="left"/>
        <w:rPr>
          <w:rFonts w:ascii="仿宋_GB2312" w:eastAsia="仿宋_GB2312" w:hAnsi="仿宋_GB2312" w:cs="仿宋_GB2312"/>
          <w:sz w:val="32"/>
          <w:szCs w:val="32"/>
        </w:rPr>
      </w:pPr>
      <w:r w:rsidRPr="00DD48E1">
        <w:rPr>
          <w:rFonts w:ascii="仿宋_GB2312" w:eastAsia="仿宋_GB2312" w:hAnsi="仿宋_GB2312" w:cs="仿宋_GB2312" w:hint="eastAsia"/>
          <w:sz w:val="32"/>
          <w:szCs w:val="32"/>
        </w:rPr>
        <w:t>（二）参加体育骨干教师培训、体育骨干教师提高班培训的学员，报到时需提供健康体检证明，体检要经过县级以上级别医院检查，应至少包含心、肺、血压、肝功能以及血、尿常规等，检查结果六个月内有效。参训期间需保持良好的身体状态，能够参加全部实践课，自备训练装备（足球鞋、训练服等）。</w:t>
      </w:r>
    </w:p>
    <w:p w:rsidR="00DD48E1" w:rsidRPr="00102FEE" w:rsidRDefault="00DD48E1" w:rsidP="00DD48E1">
      <w:pPr>
        <w:spacing w:line="520" w:lineRule="exact"/>
        <w:ind w:firstLineChars="0" w:firstLine="0"/>
        <w:rPr>
          <w:rFonts w:ascii="仿宋_GB2312" w:eastAsia="仿宋_GB2312" w:hAnsi="仿宋_GB2312" w:cs="仿宋_GB2312"/>
          <w:sz w:val="32"/>
          <w:szCs w:val="32"/>
          <w:u w:val="single"/>
        </w:rPr>
      </w:pPr>
    </w:p>
    <w:p w:rsidR="00102FEE" w:rsidRDefault="00102FEE" w:rsidP="00AA14EA">
      <w:pPr>
        <w:tabs>
          <w:tab w:val="center" w:pos="4153"/>
        </w:tabs>
        <w:spacing w:line="360" w:lineRule="auto"/>
        <w:ind w:right="901" w:firstLineChars="50" w:firstLine="150"/>
        <w:jc w:val="left"/>
        <w:rPr>
          <w:rFonts w:ascii="华文中宋" w:eastAsia="华文中宋" w:hAnsi="华文中宋" w:cs="华文中宋"/>
          <w:sz w:val="30"/>
          <w:szCs w:val="30"/>
        </w:rPr>
      </w:pPr>
      <w:r>
        <w:rPr>
          <w:rFonts w:ascii="黑体" w:eastAsia="黑体" w:hAnsi="黑体" w:cs="黑体" w:hint="eastAsia"/>
          <w:sz w:val="30"/>
          <w:szCs w:val="30"/>
        </w:rPr>
        <w:lastRenderedPageBreak/>
        <w:t>附件1</w:t>
      </w:r>
    </w:p>
    <w:p w:rsidR="00102FEE" w:rsidRDefault="00102FEE" w:rsidP="00102FEE">
      <w:pPr>
        <w:pStyle w:val="s10"/>
        <w:spacing w:before="0" w:beforeAutospacing="0" w:after="0" w:afterAutospacing="0" w:line="42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参加全国青少年校园足球骨干师资</w:t>
      </w:r>
    </w:p>
    <w:p w:rsidR="00102FEE" w:rsidRDefault="00102FEE" w:rsidP="00102FEE">
      <w:pPr>
        <w:pStyle w:val="s10"/>
        <w:spacing w:before="0" w:beforeAutospacing="0" w:after="0" w:afterAutospacing="0" w:line="420" w:lineRule="exact"/>
        <w:jc w:val="center"/>
        <w:rPr>
          <w:rFonts w:ascii="华文中宋" w:eastAsia="华文中宋" w:hAnsi="华文中宋" w:cs="华文中宋"/>
          <w:sz w:val="30"/>
          <w:szCs w:val="30"/>
        </w:rPr>
      </w:pPr>
      <w:r>
        <w:rPr>
          <w:rFonts w:ascii="华文中宋" w:eastAsia="华文中宋" w:hAnsi="华文中宋" w:cs="华文中宋" w:hint="eastAsia"/>
          <w:sz w:val="36"/>
          <w:szCs w:val="36"/>
        </w:rPr>
        <w:t>国家级专项培训人员汇总</w:t>
      </w:r>
    </w:p>
    <w:p w:rsidR="00102FEE" w:rsidRDefault="00102FEE" w:rsidP="008E2824">
      <w:pPr>
        <w:tabs>
          <w:tab w:val="center" w:pos="4153"/>
        </w:tabs>
        <w:spacing w:line="360" w:lineRule="auto"/>
        <w:ind w:right="901" w:firstLine="602"/>
        <w:jc w:val="left"/>
        <w:rPr>
          <w:rFonts w:ascii="仿宋_GB2312" w:eastAsia="仿宋_GB2312" w:hAnsi="仿宋_GB2312" w:cs="仿宋_GB2312"/>
          <w:sz w:val="30"/>
          <w:szCs w:val="30"/>
        </w:rPr>
      </w:pP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rPr>
        <w:t>教育局（或中职）：</w:t>
      </w:r>
      <w:r>
        <w:rPr>
          <w:rFonts w:ascii="仿宋_GB2312" w:eastAsia="仿宋_GB2312" w:hAnsi="仿宋_GB2312" w:cs="仿宋_GB2312" w:hint="eastAsia"/>
          <w:sz w:val="30"/>
          <w:szCs w:val="30"/>
        </w:rPr>
        <w:t xml:space="preserve">       </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2677"/>
        <w:gridCol w:w="1423"/>
        <w:gridCol w:w="2141"/>
        <w:gridCol w:w="2134"/>
      </w:tblGrid>
      <w:tr w:rsidR="00102FEE" w:rsidTr="00102FEE">
        <w:trPr>
          <w:trHeight w:val="539"/>
        </w:trPr>
        <w:tc>
          <w:tcPr>
            <w:tcW w:w="886" w:type="dxa"/>
          </w:tcPr>
          <w:p w:rsidR="00102FEE" w:rsidRDefault="00102FEE" w:rsidP="00102FEE">
            <w:pPr>
              <w:ind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677" w:type="dxa"/>
          </w:tcPr>
          <w:p w:rsidR="00102FEE" w:rsidRDefault="00102FEE" w:rsidP="00102FEE">
            <w:pPr>
              <w:ind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学校</w:t>
            </w:r>
          </w:p>
        </w:tc>
        <w:tc>
          <w:tcPr>
            <w:tcW w:w="1423" w:type="dxa"/>
          </w:tcPr>
          <w:p w:rsidR="00102FEE" w:rsidRDefault="00102FEE" w:rsidP="00102FEE">
            <w:pPr>
              <w:ind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名字</w:t>
            </w:r>
          </w:p>
        </w:tc>
        <w:tc>
          <w:tcPr>
            <w:tcW w:w="2141" w:type="dxa"/>
          </w:tcPr>
          <w:p w:rsidR="00102FEE" w:rsidRDefault="00102FEE" w:rsidP="00102FEE">
            <w:pPr>
              <w:ind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w:t>
            </w:r>
          </w:p>
        </w:tc>
        <w:tc>
          <w:tcPr>
            <w:tcW w:w="2134" w:type="dxa"/>
          </w:tcPr>
          <w:p w:rsidR="00102FEE" w:rsidRDefault="00102FEE" w:rsidP="00102FEE">
            <w:pPr>
              <w:ind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培训类型</w:t>
            </w:r>
          </w:p>
        </w:tc>
      </w:tr>
      <w:tr w:rsidR="00102FEE" w:rsidTr="00102FEE">
        <w:tc>
          <w:tcPr>
            <w:tcW w:w="886" w:type="dxa"/>
          </w:tcPr>
          <w:p w:rsidR="00102FEE" w:rsidRDefault="00102FEE" w:rsidP="00102FEE">
            <w:pPr>
              <w:ind w:firstLine="420"/>
              <w:jc w:val="center"/>
              <w:rPr>
                <w:rFonts w:ascii="仿宋_GB2312" w:eastAsia="仿宋_GB2312" w:hAnsi="仿宋_GB2312" w:cs="仿宋_GB2312"/>
                <w:color w:val="FF0000"/>
              </w:rPr>
            </w:pPr>
            <w:r>
              <w:rPr>
                <w:rFonts w:ascii="仿宋_GB2312" w:eastAsia="仿宋_GB2312" w:hAnsi="仿宋_GB2312" w:cs="仿宋_GB2312" w:hint="eastAsia"/>
                <w:color w:val="FF0000"/>
              </w:rPr>
              <w:t>1</w:t>
            </w:r>
          </w:p>
        </w:tc>
        <w:tc>
          <w:tcPr>
            <w:tcW w:w="2677" w:type="dxa"/>
          </w:tcPr>
          <w:p w:rsidR="00102FEE" w:rsidRDefault="00102FEE" w:rsidP="00102FEE">
            <w:pPr>
              <w:ind w:firstLine="420"/>
              <w:jc w:val="center"/>
              <w:rPr>
                <w:rFonts w:ascii="仿宋_GB2312" w:eastAsia="仿宋_GB2312" w:hAnsi="仿宋_GB2312" w:cs="仿宋_GB2312"/>
                <w:color w:val="FF0000"/>
              </w:rPr>
            </w:pPr>
            <w:r>
              <w:rPr>
                <w:rFonts w:ascii="仿宋_GB2312" w:eastAsia="仿宋_GB2312" w:hAnsi="仿宋_GB2312" w:cs="仿宋_GB2312" w:hint="eastAsia"/>
                <w:color w:val="FF0000"/>
              </w:rPr>
              <w:t>上海大学附属学校</w:t>
            </w:r>
          </w:p>
        </w:tc>
        <w:tc>
          <w:tcPr>
            <w:tcW w:w="1423" w:type="dxa"/>
          </w:tcPr>
          <w:p w:rsidR="00102FEE" w:rsidRDefault="00102FEE" w:rsidP="00102FEE">
            <w:pPr>
              <w:ind w:firstLine="420"/>
              <w:jc w:val="center"/>
              <w:rPr>
                <w:rFonts w:ascii="仿宋_GB2312" w:eastAsia="仿宋_GB2312" w:hAnsi="仿宋_GB2312" w:cs="仿宋_GB2312"/>
                <w:color w:val="FF0000"/>
              </w:rPr>
            </w:pPr>
            <w:r>
              <w:rPr>
                <w:rFonts w:ascii="仿宋_GB2312" w:eastAsia="仿宋_GB2312" w:hAnsi="仿宋_GB2312" w:cs="仿宋_GB2312" w:hint="eastAsia"/>
                <w:color w:val="FF0000"/>
              </w:rPr>
              <w:t>张xx</w:t>
            </w:r>
          </w:p>
        </w:tc>
        <w:tc>
          <w:tcPr>
            <w:tcW w:w="2141" w:type="dxa"/>
          </w:tcPr>
          <w:p w:rsidR="00102FEE" w:rsidRDefault="00102FEE" w:rsidP="00102FEE">
            <w:pPr>
              <w:ind w:firstLine="420"/>
              <w:jc w:val="center"/>
              <w:rPr>
                <w:rFonts w:ascii="仿宋_GB2312" w:eastAsia="仿宋_GB2312" w:hAnsi="仿宋_GB2312" w:cs="仿宋_GB2312"/>
                <w:color w:val="FF0000"/>
              </w:rPr>
            </w:pPr>
            <w:r>
              <w:rPr>
                <w:rFonts w:ascii="仿宋_GB2312" w:eastAsia="仿宋_GB2312" w:hAnsi="仿宋_GB2312" w:cs="仿宋_GB2312" w:hint="eastAsia"/>
                <w:color w:val="FF0000"/>
              </w:rPr>
              <w:t>1810175XXXX</w:t>
            </w:r>
          </w:p>
        </w:tc>
        <w:tc>
          <w:tcPr>
            <w:tcW w:w="2134" w:type="dxa"/>
          </w:tcPr>
          <w:p w:rsidR="00102FEE" w:rsidRDefault="00102FEE" w:rsidP="00102FEE">
            <w:pPr>
              <w:ind w:firstLine="420"/>
              <w:jc w:val="center"/>
              <w:rPr>
                <w:rFonts w:ascii="仿宋_GB2312" w:eastAsia="仿宋_GB2312" w:hAnsi="仿宋_GB2312" w:cs="仿宋_GB2312"/>
                <w:color w:val="FF0000"/>
              </w:rPr>
            </w:pPr>
            <w:r>
              <w:rPr>
                <w:rFonts w:ascii="仿宋_GB2312" w:eastAsia="仿宋_GB2312" w:hAnsi="仿宋_GB2312" w:cs="仿宋_GB2312" w:hint="eastAsia"/>
                <w:color w:val="FF0000"/>
              </w:rPr>
              <w:t>体育骨干教师</w:t>
            </w:r>
          </w:p>
        </w:tc>
      </w:tr>
    </w:tbl>
    <w:tbl>
      <w:tblPr>
        <w:tblStyle w:val="a"/>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2677"/>
        <w:gridCol w:w="1423"/>
        <w:gridCol w:w="2141"/>
        <w:gridCol w:w="2134"/>
      </w:tblGrid>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r w:rsidR="00102FEE" w:rsidTr="00102FEE">
        <w:tc>
          <w:tcPr>
            <w:tcW w:w="886" w:type="dxa"/>
          </w:tcPr>
          <w:p w:rsidR="00102FEE" w:rsidRDefault="00102FEE" w:rsidP="00102FEE">
            <w:pPr>
              <w:ind w:firstLine="420"/>
              <w:rPr>
                <w:rFonts w:ascii="仿宋_GB2312" w:eastAsia="仿宋_GB2312" w:hAnsi="仿宋_GB2312" w:cs="仿宋_GB2312"/>
              </w:rPr>
            </w:pPr>
          </w:p>
        </w:tc>
        <w:tc>
          <w:tcPr>
            <w:tcW w:w="2677" w:type="dxa"/>
          </w:tcPr>
          <w:p w:rsidR="00102FEE" w:rsidRDefault="00102FEE" w:rsidP="00102FEE">
            <w:pPr>
              <w:ind w:firstLine="420"/>
              <w:rPr>
                <w:rFonts w:ascii="仿宋_GB2312" w:eastAsia="仿宋_GB2312" w:hAnsi="仿宋_GB2312" w:cs="仿宋_GB2312"/>
              </w:rPr>
            </w:pPr>
          </w:p>
        </w:tc>
        <w:tc>
          <w:tcPr>
            <w:tcW w:w="1423" w:type="dxa"/>
          </w:tcPr>
          <w:p w:rsidR="00102FEE" w:rsidRDefault="00102FEE" w:rsidP="00102FEE">
            <w:pPr>
              <w:ind w:firstLine="420"/>
              <w:rPr>
                <w:rFonts w:ascii="仿宋_GB2312" w:eastAsia="仿宋_GB2312" w:hAnsi="仿宋_GB2312" w:cs="仿宋_GB2312"/>
              </w:rPr>
            </w:pPr>
          </w:p>
        </w:tc>
        <w:tc>
          <w:tcPr>
            <w:tcW w:w="2141" w:type="dxa"/>
          </w:tcPr>
          <w:p w:rsidR="00102FEE" w:rsidRDefault="00102FEE" w:rsidP="00102FEE">
            <w:pPr>
              <w:ind w:firstLine="420"/>
              <w:rPr>
                <w:rFonts w:ascii="仿宋_GB2312" w:eastAsia="仿宋_GB2312" w:hAnsi="仿宋_GB2312" w:cs="仿宋_GB2312"/>
              </w:rPr>
            </w:pPr>
          </w:p>
        </w:tc>
        <w:tc>
          <w:tcPr>
            <w:tcW w:w="2134" w:type="dxa"/>
          </w:tcPr>
          <w:p w:rsidR="00102FEE" w:rsidRDefault="00102FEE" w:rsidP="00102FEE">
            <w:pPr>
              <w:ind w:firstLine="420"/>
              <w:rPr>
                <w:rFonts w:ascii="仿宋_GB2312" w:eastAsia="仿宋_GB2312" w:hAnsi="仿宋_GB2312" w:cs="仿宋_GB2312"/>
              </w:rPr>
            </w:pPr>
          </w:p>
        </w:tc>
      </w:tr>
    </w:tbl>
    <w:p w:rsidR="00DD48E1" w:rsidRPr="00D14BB2" w:rsidRDefault="00DD48E1" w:rsidP="00DD48E1">
      <w:pPr>
        <w:ind w:firstLineChars="0" w:firstLine="0"/>
        <w:rPr>
          <w:rFonts w:ascii="黑体" w:eastAsia="黑体" w:hAnsi="黑体"/>
          <w:sz w:val="32"/>
          <w:szCs w:val="32"/>
        </w:rPr>
      </w:pPr>
      <w:r w:rsidRPr="00D14BB2">
        <w:rPr>
          <w:rFonts w:ascii="黑体" w:eastAsia="黑体" w:hAnsi="黑体" w:hint="eastAsia"/>
          <w:sz w:val="32"/>
          <w:szCs w:val="32"/>
        </w:rPr>
        <w:t>附件</w:t>
      </w:r>
      <w:r>
        <w:rPr>
          <w:rFonts w:ascii="黑体" w:eastAsia="黑体" w:hAnsi="黑体" w:hint="eastAsia"/>
          <w:sz w:val="32"/>
          <w:szCs w:val="32"/>
        </w:rPr>
        <w:t>2</w:t>
      </w:r>
      <w:r w:rsidRPr="00D14BB2">
        <w:rPr>
          <w:rFonts w:ascii="黑体" w:eastAsia="黑体" w:hAnsi="黑体" w:hint="eastAsia"/>
          <w:sz w:val="32"/>
          <w:szCs w:val="32"/>
        </w:rPr>
        <w:t>：</w:t>
      </w:r>
    </w:p>
    <w:p w:rsidR="00DD48E1" w:rsidRPr="00D14BB2" w:rsidRDefault="00DD48E1" w:rsidP="00DD48E1">
      <w:pPr>
        <w:ind w:firstLine="640"/>
        <w:jc w:val="center"/>
        <w:rPr>
          <w:rFonts w:ascii="仿宋_GB2312" w:eastAsia="仿宋_GB2312" w:hAnsi="仿宋"/>
          <w:sz w:val="32"/>
          <w:szCs w:val="32"/>
        </w:rPr>
      </w:pPr>
      <w:r w:rsidRPr="00D14BB2">
        <w:rPr>
          <w:rFonts w:ascii="仿宋_GB2312" w:eastAsia="仿宋_GB2312" w:hAnsi="仿宋" w:hint="eastAsia"/>
          <w:sz w:val="32"/>
          <w:szCs w:val="32"/>
        </w:rPr>
        <w:t>全国青少年校园足球骨干师资国家级专项培训</w:t>
      </w:r>
    </w:p>
    <w:p w:rsidR="00DD48E1" w:rsidRPr="00D14BB2" w:rsidRDefault="00DD48E1" w:rsidP="00DD48E1">
      <w:pPr>
        <w:ind w:firstLine="640"/>
        <w:jc w:val="center"/>
        <w:rPr>
          <w:rFonts w:ascii="仿宋_GB2312" w:eastAsia="仿宋_GB2312" w:hAnsi="仿宋"/>
          <w:sz w:val="32"/>
          <w:szCs w:val="32"/>
        </w:rPr>
      </w:pPr>
      <w:r w:rsidRPr="00D14BB2">
        <w:rPr>
          <w:rFonts w:ascii="仿宋_GB2312" w:eastAsia="仿宋_GB2312" w:hAnsi="仿宋" w:hint="eastAsia"/>
          <w:sz w:val="32"/>
          <w:szCs w:val="32"/>
        </w:rPr>
        <w:t>报名系统学员注册与网上报名须知</w:t>
      </w:r>
    </w:p>
    <w:p w:rsidR="00DD48E1" w:rsidRDefault="00DD48E1" w:rsidP="00DD48E1">
      <w:pPr>
        <w:ind w:firstLine="640"/>
        <w:rPr>
          <w:rFonts w:ascii="仿宋_GB2312" w:eastAsia="仿宋_GB2312" w:hAnsi="仿宋"/>
          <w:sz w:val="32"/>
          <w:szCs w:val="32"/>
        </w:rPr>
      </w:pPr>
    </w:p>
    <w:p w:rsidR="00DD48E1" w:rsidRPr="00D14BB2" w:rsidRDefault="00DD48E1" w:rsidP="00DD48E1">
      <w:pPr>
        <w:ind w:firstLine="640"/>
        <w:rPr>
          <w:rFonts w:ascii="仿宋_GB2312" w:eastAsia="仿宋_GB2312" w:hAnsi="仿宋"/>
          <w:sz w:val="32"/>
          <w:szCs w:val="32"/>
        </w:rPr>
      </w:pPr>
      <w:r w:rsidRPr="00D14BB2">
        <w:rPr>
          <w:rFonts w:ascii="仿宋_GB2312" w:eastAsia="仿宋_GB2312" w:hAnsi="仿宋" w:hint="eastAsia"/>
          <w:sz w:val="32"/>
          <w:szCs w:val="32"/>
        </w:rPr>
        <w:t>一、登录</w:t>
      </w:r>
    </w:p>
    <w:p w:rsidR="00DD48E1" w:rsidRPr="00D14BB2" w:rsidRDefault="00DD48E1" w:rsidP="00DD48E1">
      <w:pPr>
        <w:ind w:firstLine="640"/>
        <w:rPr>
          <w:rFonts w:ascii="仿宋_GB2312" w:eastAsia="仿宋_GB2312" w:hAnsi="仿宋"/>
          <w:sz w:val="32"/>
          <w:szCs w:val="32"/>
        </w:rPr>
      </w:pPr>
      <w:r w:rsidRPr="00D14BB2">
        <w:rPr>
          <w:rFonts w:ascii="仿宋_GB2312" w:eastAsia="仿宋_GB2312" w:hAnsi="仿宋" w:hint="eastAsia"/>
          <w:sz w:val="32"/>
          <w:szCs w:val="32"/>
        </w:rPr>
        <w:t>1、登录网址（</w:t>
      </w:r>
      <w:r w:rsidRPr="00A463CF">
        <w:rPr>
          <w:rFonts w:ascii="仿宋_GB2312" w:eastAsia="仿宋_GB2312" w:hAnsi="仿宋" w:hint="eastAsia"/>
          <w:sz w:val="32"/>
          <w:szCs w:val="32"/>
        </w:rPr>
        <w:t xml:space="preserve"> </w:t>
      </w:r>
      <w:hyperlink r:id="rId7" w:history="1">
        <w:r w:rsidRPr="008C6B04">
          <w:rPr>
            <w:rStyle w:val="a7"/>
            <w:rFonts w:ascii="仿宋_GB2312" w:eastAsia="仿宋_GB2312" w:hAnsi="仿宋" w:hint="eastAsia"/>
            <w:sz w:val="32"/>
            <w:szCs w:val="32"/>
          </w:rPr>
          <w:t>http://zgtyjs.org/entry/index.html</w:t>
        </w:r>
      </w:hyperlink>
      <w:r w:rsidRPr="008C6B04">
        <w:rPr>
          <w:rFonts w:ascii="仿宋_GB2312" w:eastAsia="仿宋_GB2312" w:hAnsi="仿宋" w:hint="eastAsia"/>
          <w:sz w:val="32"/>
          <w:szCs w:val="32"/>
        </w:rPr>
        <w:t xml:space="preserve"> </w:t>
      </w:r>
      <w:r w:rsidRPr="00D14BB2">
        <w:rPr>
          <w:rFonts w:ascii="仿宋_GB2312" w:eastAsia="仿宋_GB2312" w:hAnsi="仿宋" w:hint="eastAsia"/>
          <w:sz w:val="32"/>
          <w:szCs w:val="32"/>
        </w:rPr>
        <w:t>）进入“全国青少年校园足球骨干师资国家级专项培训报名系统（2017年国家级校园足球特色学校国家级培训专用）”网站</w:t>
      </w:r>
      <w:r>
        <w:rPr>
          <w:rFonts w:ascii="仿宋_GB2312" w:eastAsia="仿宋_GB2312" w:hAnsi="微软雅黑" w:cs="宋体" w:hint="eastAsia"/>
          <w:color w:val="4B4B4B"/>
          <w:sz w:val="32"/>
          <w:szCs w:val="32"/>
        </w:rPr>
        <w:t>（</w:t>
      </w:r>
      <w:r>
        <w:rPr>
          <w:rFonts w:ascii="仿宋_GB2312" w:eastAsia="仿宋_GB2312" w:hAnsi="微软雅黑" w:cs="宋体"/>
          <w:color w:val="4B4B4B"/>
          <w:sz w:val="32"/>
          <w:szCs w:val="32"/>
        </w:rPr>
        <w:t>简称</w:t>
      </w:r>
      <w:r>
        <w:rPr>
          <w:rFonts w:ascii="仿宋_GB2312" w:eastAsia="仿宋_GB2312" w:hAnsi="微软雅黑" w:cs="宋体" w:hint="eastAsia"/>
          <w:color w:val="4B4B4B"/>
          <w:sz w:val="32"/>
          <w:szCs w:val="32"/>
        </w:rPr>
        <w:t>校园足球</w:t>
      </w:r>
      <w:r>
        <w:rPr>
          <w:rFonts w:ascii="仿宋_GB2312" w:eastAsia="仿宋_GB2312" w:hAnsi="微软雅黑" w:cs="宋体"/>
          <w:color w:val="4B4B4B"/>
          <w:sz w:val="32"/>
          <w:szCs w:val="32"/>
        </w:rPr>
        <w:t>专项培训报名系统）</w:t>
      </w:r>
      <w:r w:rsidRPr="00D14BB2">
        <w:rPr>
          <w:rFonts w:ascii="仿宋_GB2312" w:eastAsia="仿宋_GB2312" w:hAnsi="仿宋" w:hint="eastAsia"/>
          <w:sz w:val="32"/>
          <w:szCs w:val="32"/>
        </w:rPr>
        <w:t>。</w:t>
      </w:r>
    </w:p>
    <w:p w:rsidR="00DD48E1" w:rsidRPr="00D14BB2" w:rsidRDefault="00DD48E1" w:rsidP="00DD48E1">
      <w:pPr>
        <w:ind w:firstLine="640"/>
        <w:rPr>
          <w:rFonts w:ascii="仿宋_GB2312" w:eastAsia="仿宋_GB2312" w:hAnsi="仿宋"/>
          <w:sz w:val="32"/>
          <w:szCs w:val="32"/>
        </w:rPr>
      </w:pPr>
      <w:r w:rsidRPr="00D14BB2">
        <w:rPr>
          <w:rFonts w:ascii="仿宋_GB2312" w:eastAsia="仿宋_GB2312" w:hAnsi="仿宋" w:hint="eastAsia"/>
          <w:sz w:val="32"/>
          <w:szCs w:val="32"/>
        </w:rPr>
        <w:t>2、注册登录。参训学员</w:t>
      </w:r>
      <w:r>
        <w:rPr>
          <w:rFonts w:ascii="仿宋_GB2312" w:eastAsia="仿宋_GB2312" w:hAnsi="仿宋" w:hint="eastAsia"/>
          <w:sz w:val="32"/>
          <w:szCs w:val="32"/>
        </w:rPr>
        <w:t>依照</w:t>
      </w:r>
      <w:r>
        <w:rPr>
          <w:rFonts w:ascii="仿宋_GB2312" w:eastAsia="仿宋_GB2312" w:hAnsi="仿宋"/>
          <w:sz w:val="32"/>
          <w:szCs w:val="32"/>
        </w:rPr>
        <w:t>提示</w:t>
      </w:r>
      <w:r w:rsidRPr="00D14BB2">
        <w:rPr>
          <w:rFonts w:ascii="仿宋_GB2312" w:eastAsia="仿宋_GB2312" w:hAnsi="仿宋" w:hint="eastAsia"/>
          <w:sz w:val="32"/>
          <w:szCs w:val="32"/>
        </w:rPr>
        <w:t>进行注册并登录。</w:t>
      </w:r>
    </w:p>
    <w:p w:rsidR="00DD48E1" w:rsidRPr="00D14BB2" w:rsidRDefault="00DD48E1" w:rsidP="00DD48E1">
      <w:pPr>
        <w:ind w:firstLine="640"/>
        <w:rPr>
          <w:rFonts w:ascii="仿宋_GB2312" w:eastAsia="仿宋_GB2312" w:hAnsi="仿宋"/>
          <w:sz w:val="32"/>
          <w:szCs w:val="32"/>
        </w:rPr>
      </w:pPr>
      <w:r w:rsidRPr="00D14BB2">
        <w:rPr>
          <w:rFonts w:ascii="仿宋_GB2312" w:eastAsia="仿宋_GB2312" w:hAnsi="仿宋" w:hint="eastAsia"/>
          <w:sz w:val="32"/>
          <w:szCs w:val="32"/>
        </w:rPr>
        <w:lastRenderedPageBreak/>
        <w:t>二、报名流程</w:t>
      </w:r>
    </w:p>
    <w:p w:rsidR="00DD48E1" w:rsidRPr="00217309" w:rsidRDefault="00DD48E1" w:rsidP="00DD48E1">
      <w:pPr>
        <w:ind w:firstLine="640"/>
        <w:rPr>
          <w:rFonts w:ascii="仿宋_GB2312" w:eastAsia="仿宋_GB2312" w:hAnsi="仿宋"/>
          <w:color w:val="000000" w:themeColor="text1"/>
          <w:sz w:val="32"/>
          <w:szCs w:val="32"/>
        </w:rPr>
      </w:pPr>
      <w:r w:rsidRPr="00D14BB2">
        <w:rPr>
          <w:rFonts w:ascii="仿宋_GB2312" w:eastAsia="仿宋_GB2312" w:hAnsi="仿宋" w:hint="eastAsia"/>
          <w:sz w:val="32"/>
          <w:szCs w:val="32"/>
        </w:rPr>
        <w:tab/>
        <w:t xml:space="preserve"> 1、选择培训类型。登录系统之后，参加体育骨干教师培训的学员须点击“体育骨干教师培训（限2017年校园足球特色学校的体育教师）”；参加中小学校长培训的须点击“中小学校长培训（限2017年校园足球特色学校的校长）”；参加体育骨干教师提高班培训的学员须点击“体育骨干教师提高班培训（限参加过2016年校园足球特色学校体育骨干教师培训的教师）”。</w:t>
      </w:r>
      <w:r w:rsidRPr="00217309">
        <w:rPr>
          <w:rFonts w:ascii="仿宋_GB2312" w:eastAsia="仿宋_GB2312" w:hAnsi="仿宋" w:hint="eastAsia"/>
          <w:color w:val="000000" w:themeColor="text1"/>
          <w:sz w:val="32"/>
          <w:szCs w:val="32"/>
        </w:rPr>
        <w:t>每位学员只能选一个培训类型。点击“我要报名”进行报名。</w:t>
      </w:r>
    </w:p>
    <w:p w:rsidR="00DD48E1" w:rsidRPr="00D14BB2" w:rsidRDefault="00DD48E1" w:rsidP="00DD48E1">
      <w:pPr>
        <w:ind w:firstLine="640"/>
        <w:rPr>
          <w:rFonts w:ascii="仿宋_GB2312" w:eastAsia="仿宋_GB2312" w:hAnsi="仿宋"/>
          <w:sz w:val="32"/>
          <w:szCs w:val="32"/>
        </w:rPr>
      </w:pPr>
      <w:r w:rsidRPr="00D14BB2">
        <w:rPr>
          <w:rFonts w:ascii="仿宋_GB2312" w:eastAsia="仿宋_GB2312" w:hAnsi="仿宋" w:hint="eastAsia"/>
          <w:sz w:val="32"/>
          <w:szCs w:val="32"/>
        </w:rPr>
        <w:t>2、下载安全协议和参训通知。点击“我要报名”，进入“安全协议书”和“参训通知”页面。点击按钮“下载安全协议，并进入下一步”。下载的安全协议，签字、盖章并携带到培训点。点击按钮 “下载参训通知，并进入下一步”。下载的参训通知，加盖学校章并携带到培训点。</w:t>
      </w:r>
    </w:p>
    <w:p w:rsidR="00DD48E1" w:rsidRPr="00D14BB2" w:rsidRDefault="00DD48E1" w:rsidP="00DD48E1">
      <w:pPr>
        <w:ind w:firstLine="640"/>
        <w:rPr>
          <w:rFonts w:ascii="仿宋_GB2312" w:eastAsia="仿宋_GB2312" w:hAnsi="仿宋"/>
          <w:sz w:val="32"/>
          <w:szCs w:val="32"/>
        </w:rPr>
      </w:pPr>
      <w:r w:rsidRPr="00D14BB2">
        <w:rPr>
          <w:rFonts w:ascii="仿宋_GB2312" w:eastAsia="仿宋_GB2312" w:hAnsi="仿宋" w:hint="eastAsia"/>
          <w:sz w:val="32"/>
          <w:szCs w:val="32"/>
        </w:rPr>
        <w:tab/>
        <w:t xml:space="preserve"> 3、报名提交。选择自己所在的省、市、区/县和学校，准确填写参训学员信息后，提交报名信息。</w:t>
      </w:r>
    </w:p>
    <w:p w:rsidR="00DD48E1" w:rsidRPr="00D14BB2" w:rsidRDefault="00DD48E1" w:rsidP="00DD48E1">
      <w:pPr>
        <w:ind w:firstLine="640"/>
        <w:rPr>
          <w:rFonts w:ascii="仿宋_GB2312" w:eastAsia="仿宋_GB2312" w:hAnsi="仿宋"/>
          <w:sz w:val="32"/>
          <w:szCs w:val="32"/>
        </w:rPr>
      </w:pPr>
      <w:r w:rsidRPr="00D14BB2">
        <w:rPr>
          <w:rFonts w:ascii="仿宋_GB2312" w:eastAsia="仿宋_GB2312" w:hAnsi="仿宋" w:hint="eastAsia"/>
          <w:sz w:val="32"/>
          <w:szCs w:val="32"/>
        </w:rPr>
        <w:tab/>
        <w:t xml:space="preserve"> 4、报名结果。提交完报名信息后，在报名结果</w:t>
      </w:r>
      <w:proofErr w:type="gramStart"/>
      <w:r w:rsidRPr="00D14BB2">
        <w:rPr>
          <w:rFonts w:ascii="仿宋_GB2312" w:eastAsia="仿宋_GB2312" w:hAnsi="仿宋" w:hint="eastAsia"/>
          <w:sz w:val="32"/>
          <w:szCs w:val="32"/>
        </w:rPr>
        <w:t>页可以</w:t>
      </w:r>
      <w:proofErr w:type="gramEnd"/>
      <w:r w:rsidRPr="00D14BB2">
        <w:rPr>
          <w:rFonts w:ascii="仿宋_GB2312" w:eastAsia="仿宋_GB2312" w:hAnsi="仿宋" w:hint="eastAsia"/>
          <w:sz w:val="32"/>
          <w:szCs w:val="32"/>
        </w:rPr>
        <w:t>看到培训类型、培训的时间地点、乘车路线、联系方式等培训信息。</w:t>
      </w:r>
    </w:p>
    <w:p w:rsidR="00DD48E1" w:rsidRPr="00D14BB2" w:rsidRDefault="00DD48E1" w:rsidP="00DD48E1">
      <w:pPr>
        <w:ind w:firstLine="640"/>
        <w:rPr>
          <w:rFonts w:ascii="仿宋_GB2312" w:eastAsia="仿宋_GB2312" w:hAnsi="仿宋"/>
          <w:sz w:val="32"/>
          <w:szCs w:val="32"/>
        </w:rPr>
      </w:pPr>
      <w:r w:rsidRPr="00D14BB2">
        <w:rPr>
          <w:rFonts w:ascii="仿宋_GB2312" w:eastAsia="仿宋_GB2312" w:hAnsi="仿宋" w:hint="eastAsia"/>
          <w:sz w:val="32"/>
          <w:szCs w:val="32"/>
        </w:rPr>
        <w:t>5、修改审核。在首页选择 “我的报名”可以修改已报名的信息，</w:t>
      </w:r>
      <w:r w:rsidRPr="00A463CF">
        <w:rPr>
          <w:rFonts w:ascii="仿宋_GB2312" w:eastAsia="仿宋_GB2312" w:hAnsi="仿宋" w:hint="eastAsia"/>
          <w:sz w:val="32"/>
          <w:szCs w:val="32"/>
        </w:rPr>
        <w:t>确认无误后审核通过（</w:t>
      </w:r>
      <w:r w:rsidRPr="00D14BB2">
        <w:rPr>
          <w:rFonts w:ascii="仿宋_GB2312" w:eastAsia="仿宋_GB2312" w:hAnsi="仿宋" w:hint="eastAsia"/>
          <w:sz w:val="32"/>
          <w:szCs w:val="32"/>
        </w:rPr>
        <w:t>在未审核之前，学员可以对提交信息进行修改</w:t>
      </w:r>
      <w:r>
        <w:rPr>
          <w:rFonts w:ascii="仿宋_GB2312" w:eastAsia="仿宋_GB2312" w:hAnsi="仿宋" w:hint="eastAsia"/>
          <w:sz w:val="32"/>
          <w:szCs w:val="32"/>
        </w:rPr>
        <w:t>，</w:t>
      </w:r>
      <w:r w:rsidRPr="00D14BB2">
        <w:rPr>
          <w:rFonts w:ascii="仿宋_GB2312" w:eastAsia="仿宋_GB2312" w:hAnsi="仿宋" w:hint="eastAsia"/>
          <w:sz w:val="32"/>
          <w:szCs w:val="32"/>
        </w:rPr>
        <w:t>审核通过之后信息将不能被修改）</w:t>
      </w:r>
      <w:r>
        <w:rPr>
          <w:rFonts w:ascii="仿宋_GB2312" w:eastAsia="仿宋_GB2312" w:hAnsi="仿宋" w:hint="eastAsia"/>
          <w:sz w:val="32"/>
          <w:szCs w:val="32"/>
        </w:rPr>
        <w:t>。</w:t>
      </w:r>
    </w:p>
    <w:p w:rsidR="00DD48E1" w:rsidRPr="00D14BB2" w:rsidRDefault="00DD48E1" w:rsidP="00DD48E1">
      <w:pPr>
        <w:ind w:firstLine="640"/>
        <w:rPr>
          <w:rFonts w:ascii="仿宋_GB2312" w:eastAsia="仿宋_GB2312" w:hAnsi="仿宋"/>
          <w:sz w:val="32"/>
          <w:szCs w:val="32"/>
        </w:rPr>
      </w:pPr>
      <w:r w:rsidRPr="00D14BB2">
        <w:rPr>
          <w:rFonts w:ascii="仿宋_GB2312" w:eastAsia="仿宋_GB2312" w:hAnsi="仿宋" w:hint="eastAsia"/>
          <w:sz w:val="32"/>
          <w:szCs w:val="32"/>
        </w:rPr>
        <w:lastRenderedPageBreak/>
        <w:t>三、技术支持</w:t>
      </w:r>
    </w:p>
    <w:p w:rsidR="00DD48E1" w:rsidRDefault="00DD48E1" w:rsidP="00DD48E1">
      <w:pPr>
        <w:ind w:firstLine="640"/>
        <w:rPr>
          <w:rFonts w:ascii="仿宋_GB2312" w:eastAsia="仿宋_GB2312" w:hAnsi="仿宋"/>
          <w:sz w:val="32"/>
          <w:szCs w:val="32"/>
        </w:rPr>
      </w:pPr>
      <w:r w:rsidRPr="00D14BB2">
        <w:rPr>
          <w:rFonts w:ascii="仿宋_GB2312" w:eastAsia="仿宋_GB2312" w:hAnsi="仿宋" w:hint="eastAsia"/>
          <w:sz w:val="32"/>
          <w:szCs w:val="32"/>
        </w:rPr>
        <w:tab/>
        <w:t xml:space="preserve"> </w:t>
      </w:r>
      <w:r>
        <w:rPr>
          <w:rFonts w:ascii="仿宋_GB2312" w:eastAsia="仿宋_GB2312" w:hAnsi="仿宋" w:hint="eastAsia"/>
          <w:sz w:val="32"/>
          <w:szCs w:val="32"/>
        </w:rPr>
        <w:t>联系人</w:t>
      </w:r>
      <w:r>
        <w:rPr>
          <w:rFonts w:ascii="仿宋_GB2312" w:eastAsia="仿宋_GB2312" w:hAnsi="仿宋"/>
          <w:sz w:val="32"/>
          <w:szCs w:val="32"/>
        </w:rPr>
        <w:t>：</w:t>
      </w:r>
      <w:r w:rsidRPr="00D14BB2">
        <w:rPr>
          <w:rFonts w:ascii="仿宋_GB2312" w:eastAsia="仿宋_GB2312" w:hAnsi="仿宋" w:hint="eastAsia"/>
          <w:sz w:val="32"/>
          <w:szCs w:val="32"/>
        </w:rPr>
        <w:t>刘周静</w:t>
      </w:r>
      <w:r>
        <w:rPr>
          <w:rFonts w:ascii="仿宋_GB2312" w:eastAsia="仿宋_GB2312" w:hAnsi="仿宋" w:hint="eastAsia"/>
          <w:sz w:val="32"/>
          <w:szCs w:val="32"/>
        </w:rPr>
        <w:t>；</w:t>
      </w:r>
    </w:p>
    <w:p w:rsidR="00DD48E1" w:rsidRPr="00D14BB2" w:rsidRDefault="00DD48E1" w:rsidP="00DD48E1">
      <w:pPr>
        <w:ind w:firstLine="640"/>
        <w:rPr>
          <w:rFonts w:ascii="仿宋_GB2312" w:eastAsia="仿宋_GB2312" w:hAnsi="仿宋"/>
          <w:sz w:val="32"/>
          <w:szCs w:val="32"/>
        </w:rPr>
      </w:pPr>
      <w:r>
        <w:rPr>
          <w:rFonts w:ascii="仿宋_GB2312" w:eastAsia="仿宋_GB2312" w:hAnsi="仿宋" w:hint="eastAsia"/>
          <w:sz w:val="32"/>
          <w:szCs w:val="32"/>
        </w:rPr>
        <w:t>联系电话</w:t>
      </w:r>
      <w:r w:rsidRPr="00D14BB2">
        <w:rPr>
          <w:rFonts w:ascii="仿宋_GB2312" w:eastAsia="仿宋_GB2312" w:hAnsi="仿宋" w:hint="eastAsia"/>
          <w:sz w:val="32"/>
          <w:szCs w:val="32"/>
        </w:rPr>
        <w:t>：18801343384</w:t>
      </w:r>
      <w:r>
        <w:rPr>
          <w:rFonts w:ascii="仿宋_GB2312" w:eastAsia="仿宋_GB2312" w:hAnsi="仿宋" w:hint="eastAsia"/>
          <w:sz w:val="32"/>
          <w:szCs w:val="32"/>
        </w:rPr>
        <w:t>。</w:t>
      </w:r>
    </w:p>
    <w:p w:rsidR="00DD48E1" w:rsidRPr="00762CDF" w:rsidRDefault="00DD48E1" w:rsidP="00DD48E1">
      <w:pPr>
        <w:widowControl/>
        <w:shd w:val="clear" w:color="auto" w:fill="FFFFFF"/>
        <w:spacing w:before="100" w:beforeAutospacing="1" w:after="100" w:afterAutospacing="1"/>
        <w:ind w:firstLine="640"/>
        <w:jc w:val="left"/>
        <w:rPr>
          <w:rFonts w:ascii="仿宋_GB2312" w:eastAsia="仿宋_GB2312" w:hAnsi="微软雅黑" w:cs="宋体"/>
          <w:sz w:val="32"/>
          <w:szCs w:val="32"/>
        </w:rPr>
      </w:pPr>
    </w:p>
    <w:p w:rsidR="00102FEE" w:rsidRPr="002A7B63" w:rsidRDefault="00102FEE" w:rsidP="00102FEE">
      <w:pPr>
        <w:spacing w:line="520" w:lineRule="exact"/>
        <w:ind w:firstLineChars="0" w:firstLine="0"/>
        <w:rPr>
          <w:rFonts w:ascii="仿宋_GB2312" w:eastAsia="仿宋_GB2312" w:hAnsi="仿宋_GB2312" w:cs="仿宋_GB2312"/>
          <w:sz w:val="32"/>
          <w:szCs w:val="32"/>
        </w:rPr>
      </w:pPr>
    </w:p>
    <w:sectPr w:rsidR="00102FEE" w:rsidRPr="002A7B63" w:rsidSect="008951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00" w:rsidRDefault="00633200" w:rsidP="00DA32AD">
      <w:pPr>
        <w:ind w:firstLine="420"/>
      </w:pPr>
      <w:r>
        <w:separator/>
      </w:r>
    </w:p>
  </w:endnote>
  <w:endnote w:type="continuationSeparator" w:id="0">
    <w:p w:rsidR="00633200" w:rsidRDefault="00633200" w:rsidP="00DA32A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AD" w:rsidRDefault="00DA32AD" w:rsidP="00DA32A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AD" w:rsidRDefault="00DA32AD" w:rsidP="00DA32A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AD" w:rsidRDefault="00DA32AD" w:rsidP="00DA32A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00" w:rsidRDefault="00633200" w:rsidP="00DA32AD">
      <w:pPr>
        <w:ind w:firstLine="420"/>
      </w:pPr>
      <w:r>
        <w:separator/>
      </w:r>
    </w:p>
  </w:footnote>
  <w:footnote w:type="continuationSeparator" w:id="0">
    <w:p w:rsidR="00633200" w:rsidRDefault="00633200" w:rsidP="00DA32A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AD" w:rsidRDefault="00DA32AD" w:rsidP="00DA32A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AD" w:rsidRPr="00DA32AD" w:rsidRDefault="00DA32AD" w:rsidP="00DA32AD">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AD" w:rsidRDefault="00DA32AD" w:rsidP="00DA32A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AD"/>
    <w:rsid w:val="00001A18"/>
    <w:rsid w:val="00086E78"/>
    <w:rsid w:val="00102FEE"/>
    <w:rsid w:val="00185CBE"/>
    <w:rsid w:val="001D44CB"/>
    <w:rsid w:val="00210058"/>
    <w:rsid w:val="002A7B63"/>
    <w:rsid w:val="004D4177"/>
    <w:rsid w:val="005110ED"/>
    <w:rsid w:val="00633200"/>
    <w:rsid w:val="0074768F"/>
    <w:rsid w:val="00895115"/>
    <w:rsid w:val="008E2824"/>
    <w:rsid w:val="00AA14EA"/>
    <w:rsid w:val="00AB1D22"/>
    <w:rsid w:val="00B635F7"/>
    <w:rsid w:val="00B653BD"/>
    <w:rsid w:val="00BB357E"/>
    <w:rsid w:val="00CE5103"/>
    <w:rsid w:val="00DA32AD"/>
    <w:rsid w:val="00DC5D70"/>
    <w:rsid w:val="00DD48E1"/>
    <w:rsid w:val="00EB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60AD45-B72D-4006-A505-98ED4A8D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1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32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A32AD"/>
    <w:rPr>
      <w:sz w:val="18"/>
      <w:szCs w:val="18"/>
    </w:rPr>
  </w:style>
  <w:style w:type="paragraph" w:styleId="a5">
    <w:name w:val="footer"/>
    <w:basedOn w:val="a"/>
    <w:link w:val="a6"/>
    <w:uiPriority w:val="99"/>
    <w:semiHidden/>
    <w:unhideWhenUsed/>
    <w:rsid w:val="00DA32A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A32AD"/>
    <w:rPr>
      <w:sz w:val="18"/>
      <w:szCs w:val="18"/>
    </w:rPr>
  </w:style>
  <w:style w:type="paragraph" w:customStyle="1" w:styleId="s10">
    <w:name w:val="s10"/>
    <w:basedOn w:val="a"/>
    <w:uiPriority w:val="99"/>
    <w:rsid w:val="00DA32AD"/>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s7">
    <w:name w:val="s7"/>
    <w:basedOn w:val="a"/>
    <w:uiPriority w:val="99"/>
    <w:rsid w:val="00DA32AD"/>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7">
    <w:name w:val="Hyperlink"/>
    <w:basedOn w:val="a0"/>
    <w:uiPriority w:val="99"/>
    <w:unhideWhenUsed/>
    <w:rsid w:val="002A7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zgtyjs.org/entry/index.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97;&#37038;&#31665;&#30340;&#26041;&#24335;&#21457;&#36865;&#33267;439609561@qq.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362</Words>
  <Characters>2068</Characters>
  <Application>Microsoft Office Word</Application>
  <DocSecurity>0</DocSecurity>
  <Lines>17</Lines>
  <Paragraphs>4</Paragraphs>
  <ScaleCrop>false</ScaleCrop>
  <Company>LENOVO</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wei</dc:creator>
  <cp:keywords/>
  <dc:description/>
  <cp:lastModifiedBy>yuyi</cp:lastModifiedBy>
  <cp:revision>2</cp:revision>
  <dcterms:created xsi:type="dcterms:W3CDTF">2018-05-29T08:12:00Z</dcterms:created>
  <dcterms:modified xsi:type="dcterms:W3CDTF">2018-05-29T08:12:00Z</dcterms:modified>
</cp:coreProperties>
</file>